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70" w:rsidRDefault="00436120" w:rsidP="005975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val="uk-UA" w:eastAsia="ru-RU"/>
        </w:rPr>
      </w:pP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Узагальнений</w:t>
      </w:r>
      <w:proofErr w:type="spellEnd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звіт</w:t>
      </w:r>
      <w:proofErr w:type="spellEnd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про стан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реалізації</w:t>
      </w:r>
      <w:proofErr w:type="spellEnd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проект</w:t>
      </w:r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val="uk-UA" w:eastAsia="ru-RU"/>
        </w:rPr>
        <w:t>у</w:t>
      </w:r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</w:t>
      </w:r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val="uk-UA" w:eastAsia="ru-RU"/>
        </w:rPr>
        <w:t>«</w:t>
      </w:r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Фестиваль </w:t>
      </w:r>
      <w:proofErr w:type="spellStart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молодіжних</w:t>
      </w:r>
      <w:proofErr w:type="spellEnd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</w:t>
      </w:r>
      <w:proofErr w:type="spellStart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ініціатив</w:t>
      </w:r>
      <w:proofErr w:type="spellEnd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«</w:t>
      </w:r>
      <w:proofErr w:type="spellStart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Youth</w:t>
      </w:r>
      <w:proofErr w:type="spellEnd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</w:t>
      </w:r>
      <w:proofErr w:type="spellStart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Day</w:t>
      </w:r>
      <w:proofErr w:type="spellEnd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»</w:t>
      </w:r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val="uk-UA" w:eastAsia="ru-RU"/>
        </w:rPr>
        <w:t xml:space="preserve"> </w:t>
      </w:r>
    </w:p>
    <w:p w:rsidR="00436120" w:rsidRPr="00436120" w:rsidRDefault="00436120" w:rsidP="005975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</w:pPr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за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рахунок</w:t>
      </w:r>
      <w:proofErr w:type="spellEnd"/>
      <w:r w:rsidR="0059757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val="uk-UA" w:eastAsia="ru-RU"/>
        </w:rPr>
        <w:t xml:space="preserve">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коштів</w:t>
      </w:r>
      <w:proofErr w:type="spellEnd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громадського</w:t>
      </w:r>
      <w:proofErr w:type="spellEnd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бюджету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міста</w:t>
      </w:r>
      <w:proofErr w:type="spellEnd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 xml:space="preserve"> </w:t>
      </w:r>
      <w:proofErr w:type="spellStart"/>
      <w:r w:rsidRPr="00436120">
        <w:rPr>
          <w:rFonts w:ascii="Times New Roman" w:eastAsia="Times New Roman" w:hAnsi="Times New Roman" w:cs="Times New Roman"/>
          <w:b/>
          <w:bCs/>
          <w:color w:val="264969"/>
          <w:sz w:val="24"/>
          <w:szCs w:val="24"/>
          <w:lang w:eastAsia="ru-RU"/>
        </w:rPr>
        <w:t>Києва</w:t>
      </w:r>
      <w:proofErr w:type="spellEnd"/>
    </w:p>
    <w:p w:rsidR="00436120" w:rsidRDefault="00597570" w:rsidP="0059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4969"/>
          <w:sz w:val="24"/>
          <w:szCs w:val="24"/>
          <w:lang w:val="uk-UA" w:eastAsia="ru-RU"/>
        </w:rPr>
      </w:pPr>
      <w:bookmarkStart w:id="0" w:name="589"/>
      <w:bookmarkEnd w:id="0"/>
      <w:r w:rsidRPr="00597570">
        <w:rPr>
          <w:rFonts w:ascii="Times New Roman" w:eastAsia="Times New Roman" w:hAnsi="Times New Roman" w:cs="Times New Roman"/>
          <w:b/>
          <w:color w:val="264969"/>
          <w:sz w:val="24"/>
          <w:szCs w:val="24"/>
          <w:lang w:val="uk-UA" w:eastAsia="ru-RU"/>
        </w:rPr>
        <w:t xml:space="preserve">за </w:t>
      </w:r>
      <w:r w:rsidR="003C03C2">
        <w:rPr>
          <w:rFonts w:ascii="Times New Roman" w:eastAsia="Times New Roman" w:hAnsi="Times New Roman" w:cs="Times New Roman"/>
          <w:b/>
          <w:color w:val="264969"/>
          <w:sz w:val="24"/>
          <w:szCs w:val="24"/>
          <w:lang w:val="uk-UA" w:eastAsia="ru-RU"/>
        </w:rPr>
        <w:t>2018</w:t>
      </w:r>
      <w:bookmarkStart w:id="1" w:name="_GoBack"/>
      <w:bookmarkEnd w:id="1"/>
      <w:r w:rsidRPr="00597570">
        <w:rPr>
          <w:rFonts w:ascii="Times New Roman" w:eastAsia="Times New Roman" w:hAnsi="Times New Roman" w:cs="Times New Roman"/>
          <w:b/>
          <w:color w:val="264969"/>
          <w:sz w:val="24"/>
          <w:szCs w:val="24"/>
          <w:lang w:val="uk-UA" w:eastAsia="ru-RU"/>
        </w:rPr>
        <w:t xml:space="preserve"> рік</w:t>
      </w:r>
    </w:p>
    <w:p w:rsidR="00597570" w:rsidRPr="00436120" w:rsidRDefault="00597570" w:rsidP="0059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4969"/>
          <w:sz w:val="24"/>
          <w:szCs w:val="24"/>
          <w:lang w:val="uk-UA" w:eastAsia="ru-RU"/>
        </w:rPr>
      </w:pPr>
    </w:p>
    <w:tbl>
      <w:tblPr>
        <w:tblW w:w="5403" w:type="pct"/>
        <w:tblCellSpacing w:w="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869"/>
        <w:gridCol w:w="1798"/>
        <w:gridCol w:w="1285"/>
        <w:gridCol w:w="674"/>
        <w:gridCol w:w="677"/>
        <w:gridCol w:w="1354"/>
        <w:gridCol w:w="1724"/>
        <w:gridCol w:w="694"/>
        <w:gridCol w:w="698"/>
        <w:gridCol w:w="5312"/>
      </w:tblGrid>
      <w:tr w:rsidR="00353E1A" w:rsidRPr="00436120" w:rsidTr="00A7700F">
        <w:trPr>
          <w:tblCellSpacing w:w="22" w:type="dxa"/>
        </w:trPr>
        <w:tc>
          <w:tcPr>
            <w:tcW w:w="192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" w:name="590"/>
            <w:bookmarkEnd w:id="2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N</w:t>
            </w:r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262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3" w:name="591"/>
            <w:bookmarkEnd w:id="3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Реєстр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. номер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4" w:name="592"/>
            <w:bookmarkEnd w:id="4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Назва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проекту,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місце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розташування</w:t>
            </w:r>
            <w:proofErr w:type="spellEnd"/>
          </w:p>
        </w:tc>
        <w:tc>
          <w:tcPr>
            <w:tcW w:w="394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5" w:name="593"/>
            <w:bookmarkEnd w:id="5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Етап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, заходи з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826" w:type="pct"/>
            <w:gridSpan w:val="3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6" w:name="594"/>
            <w:bookmarkEnd w:id="6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Обсяг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, тис.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955" w:type="pct"/>
            <w:gridSpan w:val="3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7" w:name="595"/>
            <w:bookmarkEnd w:id="7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Виконані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690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8" w:name="596"/>
            <w:bookmarkEnd w:id="8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Отриманий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353E1A" w:rsidRPr="00436120" w:rsidTr="00A7700F">
        <w:trPr>
          <w:tblCellSpacing w:w="22" w:type="dxa"/>
        </w:trPr>
        <w:tc>
          <w:tcPr>
            <w:tcW w:w="192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9" w:name="597"/>
            <w:bookmarkEnd w:id="9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1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0" w:name="598"/>
            <w:bookmarkEnd w:id="10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1" w:name="599"/>
            <w:bookmarkEnd w:id="11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Залишок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станом на початок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звітного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534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2" w:name="600"/>
            <w:bookmarkEnd w:id="12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  <w:tc>
          <w:tcPr>
            <w:tcW w:w="407" w:type="pct"/>
            <w:gridSpan w:val="2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3" w:name="601"/>
            <w:bookmarkEnd w:id="13"/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Вартість</w:t>
            </w:r>
            <w:proofErr w:type="spellEnd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 xml:space="preserve">, тис. </w:t>
            </w:r>
            <w:proofErr w:type="spellStart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690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</w:tr>
      <w:tr w:rsidR="00353E1A" w:rsidRPr="00436120" w:rsidTr="00A7700F">
        <w:trPr>
          <w:tblCellSpacing w:w="22" w:type="dxa"/>
        </w:trPr>
        <w:tc>
          <w:tcPr>
            <w:tcW w:w="192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4" w:name="602"/>
            <w:bookmarkEnd w:id="14"/>
            <w:r w:rsidRPr="0043612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5" w:name="603"/>
            <w:bookmarkEnd w:id="15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7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6" w:name="604"/>
            <w:bookmarkEnd w:id="16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90" w:type="pct"/>
            <w:vMerge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</w:tr>
      <w:tr w:rsidR="00353E1A" w:rsidRPr="00436120" w:rsidTr="00A7700F">
        <w:trPr>
          <w:tblCellSpacing w:w="22" w:type="dxa"/>
        </w:trPr>
        <w:tc>
          <w:tcPr>
            <w:tcW w:w="192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7" w:name="605"/>
            <w:bookmarkEnd w:id="17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8" w:name="606"/>
            <w:bookmarkEnd w:id="18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19" w:name="607"/>
            <w:bookmarkEnd w:id="19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0" w:name="608"/>
            <w:bookmarkEnd w:id="20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1" w:name="609"/>
            <w:bookmarkEnd w:id="21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2" w:name="610"/>
            <w:bookmarkEnd w:id="22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3" w:name="611"/>
            <w:bookmarkEnd w:id="23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4" w:name="612"/>
            <w:bookmarkEnd w:id="24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5" w:name="613"/>
            <w:bookmarkEnd w:id="25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6" w:name="614"/>
            <w:bookmarkEnd w:id="26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pct"/>
            <w:vAlign w:val="center"/>
            <w:hideMark/>
          </w:tcPr>
          <w:p w:rsidR="00436120" w:rsidRPr="00436120" w:rsidRDefault="00436120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7" w:name="615"/>
            <w:bookmarkEnd w:id="27"/>
            <w:r w:rsidRPr="00436120">
              <w:rPr>
                <w:rFonts w:ascii="Times New Roman" w:eastAsia="Times New Roman" w:hAnsi="Times New Roman" w:cs="Times New Roman"/>
                <w:b/>
                <w:bCs/>
                <w:color w:val="264969"/>
                <w:sz w:val="24"/>
                <w:szCs w:val="24"/>
                <w:lang w:eastAsia="ru-RU"/>
              </w:rPr>
              <w:t>11</w:t>
            </w:r>
          </w:p>
        </w:tc>
      </w:tr>
      <w:tr w:rsidR="00353E1A" w:rsidRPr="00436120" w:rsidTr="00A7700F">
        <w:trPr>
          <w:trHeight w:val="1096"/>
          <w:tblCellSpacing w:w="22" w:type="dxa"/>
        </w:trPr>
        <w:tc>
          <w:tcPr>
            <w:tcW w:w="192" w:type="pct"/>
            <w:vMerge w:val="restart"/>
            <w:vAlign w:val="center"/>
            <w:hideMark/>
          </w:tcPr>
          <w:p w:rsidR="00353E1A" w:rsidRPr="00436120" w:rsidRDefault="00353E1A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28" w:name="616"/>
            <w:bookmarkEnd w:id="28"/>
            <w:r w:rsidRPr="0043612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 </w:t>
            </w:r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2" w:type="pct"/>
            <w:vMerge w:val="restart"/>
            <w:vAlign w:val="center"/>
            <w:hideMark/>
          </w:tcPr>
          <w:p w:rsidR="00353E1A" w:rsidRPr="00436120" w:rsidRDefault="00353E1A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29" w:name="617"/>
            <w:bookmarkEnd w:id="29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134</w:t>
            </w:r>
            <w:r w:rsidRPr="0043612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vMerge w:val="restart"/>
            <w:vAlign w:val="center"/>
            <w:hideMark/>
          </w:tcPr>
          <w:p w:rsidR="00353E1A" w:rsidRPr="00436120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0" w:name="618"/>
            <w:bookmarkEnd w:id="30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молодіжних</w:t>
            </w:r>
            <w:proofErr w:type="spellEnd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ініціатив</w:t>
            </w:r>
            <w:proofErr w:type="spellEnd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Youth</w:t>
            </w:r>
            <w:proofErr w:type="spellEnd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Day</w:t>
            </w:r>
            <w:proofErr w:type="spellEnd"/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"</w:t>
            </w:r>
            <w:r w:rsidRPr="0059757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, м. Київ, парк імені Тараса Шевченка та прилегла до нього вулиця Володимирська (ділянка від перехрестя вулиць Володимирської та Льва Толстого до перехрестя вулиць Володимирської та бульвару Тараса Шевченка)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353E1A" w:rsidRPr="00436120" w:rsidRDefault="00353E1A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1" w:name="619"/>
            <w:bookmarkEnd w:id="31"/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Реалізацію заходу завершено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353E1A" w:rsidRPr="00436120" w:rsidRDefault="00353E1A" w:rsidP="0035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2" w:name="620"/>
            <w:bookmarkEnd w:id="32"/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201" w:type="pct"/>
            <w:vMerge w:val="restart"/>
            <w:vAlign w:val="center"/>
            <w:hideMark/>
          </w:tcPr>
          <w:p w:rsidR="00353E1A" w:rsidRPr="00436120" w:rsidRDefault="00353E1A" w:rsidP="0035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3" w:name="621"/>
            <w:bookmarkEnd w:id="33"/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385,4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353E1A" w:rsidRPr="00436120" w:rsidRDefault="00353E1A" w:rsidP="0035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4" w:name="622"/>
            <w:bookmarkEnd w:id="34"/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14,6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  <w:hideMark/>
          </w:tcPr>
          <w:p w:rsidR="00353E1A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5" w:name="623"/>
            <w:bookmarkEnd w:id="35"/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Послуги із оренди обладнання оргтехніки</w:t>
            </w:r>
          </w:p>
          <w:p w:rsidR="00353E1A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  <w:p w:rsidR="00353E1A" w:rsidRPr="00436120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  <w:hideMark/>
          </w:tcPr>
          <w:p w:rsidR="00353E1A" w:rsidRPr="00436120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6" w:name="624"/>
            <w:bookmarkEnd w:id="36"/>
            <w:r w:rsidRPr="0043612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382,0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  <w:hideMark/>
          </w:tcPr>
          <w:p w:rsidR="00353E1A" w:rsidRPr="00436120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bookmarkStart w:id="37" w:name="625"/>
            <w:bookmarkEnd w:id="37"/>
            <w:r w:rsidRPr="00436120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367,4</w:t>
            </w:r>
          </w:p>
        </w:tc>
        <w:tc>
          <w:tcPr>
            <w:tcW w:w="1690" w:type="pct"/>
            <w:vMerge w:val="restart"/>
            <w:vAlign w:val="center"/>
            <w:hideMark/>
          </w:tcPr>
          <w:p w:rsidR="00353E1A" w:rsidRPr="00436120" w:rsidRDefault="00353E1A" w:rsidP="00A77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  <w:bookmarkStart w:id="38" w:name="626"/>
            <w:bookmarkEnd w:id="38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молодіжних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ініціатив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Youth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Day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» –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це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проект,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що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об’єднав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всі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напрямки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молодіжних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ініціатив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одного дня молодь мала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нагоду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продемонструвати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свої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вміння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знання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поділитись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досвідом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іншими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повній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мірі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відчути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незабутню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атмосферу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молодіжного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свята.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Понад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10 000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у т. ч.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із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понад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молодіжних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ініціатив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рухів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обмінялися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досвідом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щодо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кращих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стартапів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отримали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нагоду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набути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знань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навичок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продуктивної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роботи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системі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ефективного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розв’язання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соціально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зн</w:t>
            </w:r>
            <w:r w:rsidR="00A7700F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ачущих</w:t>
            </w:r>
            <w:proofErr w:type="spellEnd"/>
            <w:r w:rsidR="00A7700F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="00A7700F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місцевої</w:t>
            </w:r>
            <w:proofErr w:type="spellEnd"/>
            <w:r w:rsidR="00A7700F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700F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громади.</w:t>
            </w:r>
            <w:proofErr w:type="spellEnd"/>
            <w:r w:rsidR="00A7700F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 xml:space="preserve"> </w:t>
            </w:r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В рамках заходу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діяло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різноспрямованих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локації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заходу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була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розміщена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мережах, на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офіційних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веб-порталах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організаторів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партнерів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висвітлена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засобами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масової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: ICTV, УНІАН, РБК, ZIK,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NewsOne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Еспресо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ТРК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Україна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Громадський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простір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радіо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«Культура», газетах «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Хрещатик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», «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Українські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новини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», «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ГолосЮА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», на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рекламних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носіях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проінформовано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понад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 50 000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осіб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 xml:space="preserve">).                                                                                                                                    Фото проекту за </w:t>
            </w:r>
            <w:proofErr w:type="spellStart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  <w:t>: https://www.facebook.com/YouthDay.Kyiv/</w:t>
            </w:r>
          </w:p>
        </w:tc>
      </w:tr>
      <w:tr w:rsidR="00A7700F" w:rsidRPr="00436120" w:rsidTr="00A7700F">
        <w:trPr>
          <w:trHeight w:val="3000"/>
          <w:tblCellSpacing w:w="22" w:type="dxa"/>
        </w:trPr>
        <w:tc>
          <w:tcPr>
            <w:tcW w:w="192" w:type="pct"/>
            <w:vMerge/>
            <w:vAlign w:val="center"/>
          </w:tcPr>
          <w:p w:rsidR="00353E1A" w:rsidRPr="00436120" w:rsidRDefault="00353E1A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353E1A" w:rsidRPr="00597570" w:rsidRDefault="00353E1A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353E1A" w:rsidRPr="00597570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</w:tcPr>
          <w:p w:rsidR="00353E1A" w:rsidRDefault="00353E1A" w:rsidP="0059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vMerge/>
            <w:vAlign w:val="center"/>
          </w:tcPr>
          <w:p w:rsidR="00353E1A" w:rsidRDefault="00353E1A" w:rsidP="0035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</w:tc>
        <w:tc>
          <w:tcPr>
            <w:tcW w:w="201" w:type="pct"/>
            <w:vMerge/>
            <w:vAlign w:val="center"/>
          </w:tcPr>
          <w:p w:rsidR="00353E1A" w:rsidRDefault="00353E1A" w:rsidP="0035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353E1A" w:rsidRDefault="00353E1A" w:rsidP="0035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353E1A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r w:rsidRPr="00353E1A"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Послуги із харчування волонтерів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353E1A" w:rsidRPr="00353E1A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:rsidR="00353E1A" w:rsidRPr="00353E1A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1690" w:type="pct"/>
            <w:vMerge/>
            <w:vAlign w:val="center"/>
          </w:tcPr>
          <w:p w:rsidR="00353E1A" w:rsidRPr="00436120" w:rsidRDefault="00353E1A" w:rsidP="0059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969"/>
                <w:sz w:val="24"/>
                <w:szCs w:val="24"/>
                <w:lang w:eastAsia="ru-RU"/>
              </w:rPr>
            </w:pPr>
          </w:p>
        </w:tc>
      </w:tr>
    </w:tbl>
    <w:p w:rsidR="003746B9" w:rsidRDefault="003746B9" w:rsidP="00597570">
      <w:pPr>
        <w:spacing w:after="0" w:line="240" w:lineRule="auto"/>
      </w:pPr>
      <w:bookmarkStart w:id="39" w:name="627"/>
      <w:bookmarkStart w:id="40" w:name="671"/>
      <w:bookmarkEnd w:id="39"/>
      <w:bookmarkEnd w:id="40"/>
    </w:p>
    <w:sectPr w:rsidR="003746B9" w:rsidSect="00353E1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20"/>
    <w:rsid w:val="00353E1A"/>
    <w:rsid w:val="003746B9"/>
    <w:rsid w:val="003C03C2"/>
    <w:rsid w:val="00436120"/>
    <w:rsid w:val="00597570"/>
    <w:rsid w:val="00A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CB6B"/>
  <w15:chartTrackingRefBased/>
  <w15:docId w15:val="{3617CEAF-DC41-4937-AF45-CC294E3B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2018-09-06T08:19:00Z</dcterms:created>
  <dcterms:modified xsi:type="dcterms:W3CDTF">2018-09-06T08:52:00Z</dcterms:modified>
</cp:coreProperties>
</file>